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E2C0" w14:textId="77777777" w:rsidR="009772DC" w:rsidRDefault="009772DC" w:rsidP="00B10377">
      <w:pPr>
        <w:spacing w:after="0" w:line="240" w:lineRule="auto"/>
        <w:ind w:hanging="360"/>
        <w:jc w:val="center"/>
        <w:rPr>
          <w:b/>
          <w:bCs/>
          <w:sz w:val="28"/>
          <w:szCs w:val="28"/>
          <w:shd w:val="clear" w:color="auto" w:fill="FFFFFF"/>
        </w:rPr>
      </w:pPr>
    </w:p>
    <w:p w14:paraId="7328E3A1" w14:textId="062F9419" w:rsidR="009772DC" w:rsidRDefault="009772DC" w:rsidP="00B10377">
      <w:pPr>
        <w:spacing w:after="0" w:line="240" w:lineRule="auto"/>
        <w:ind w:hanging="36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6A51277F" wp14:editId="4665179E">
            <wp:extent cx="1714500" cy="1152525"/>
            <wp:effectExtent l="0" t="0" r="0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B114E" w14:textId="0DA8FA07" w:rsidR="00097104" w:rsidRDefault="00E3581F" w:rsidP="00B10377">
      <w:pPr>
        <w:spacing w:after="0" w:line="240" w:lineRule="auto"/>
        <w:ind w:hanging="36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CURRENT </w:t>
      </w:r>
      <w:r w:rsidR="00097104" w:rsidRPr="00EF0D0E">
        <w:rPr>
          <w:b/>
          <w:bCs/>
          <w:sz w:val="28"/>
          <w:szCs w:val="28"/>
          <w:shd w:val="clear" w:color="auto" w:fill="FFFFFF"/>
        </w:rPr>
        <w:t>REGULATIONS REGARDING STAFF VACCINATION</w:t>
      </w:r>
    </w:p>
    <w:p w14:paraId="06113BF7" w14:textId="6A12250A" w:rsidR="00C20E50" w:rsidRPr="00E47A11" w:rsidRDefault="00C20E50" w:rsidP="00B10377">
      <w:pPr>
        <w:spacing w:after="0" w:line="240" w:lineRule="auto"/>
        <w:ind w:hanging="360"/>
        <w:jc w:val="center"/>
        <w:rPr>
          <w:sz w:val="24"/>
          <w:szCs w:val="24"/>
          <w:shd w:val="clear" w:color="auto" w:fill="FFFFFF"/>
        </w:rPr>
      </w:pPr>
      <w:r w:rsidRPr="00E47A11">
        <w:rPr>
          <w:sz w:val="24"/>
          <w:szCs w:val="24"/>
          <w:shd w:val="clear" w:color="auto" w:fill="FFFFFF"/>
        </w:rPr>
        <w:t>November 23, 2021</w:t>
      </w:r>
    </w:p>
    <w:p w14:paraId="5523DC61" w14:textId="1D7D6D3F" w:rsidR="00C20E50" w:rsidRPr="005C7A66" w:rsidRDefault="00C20E50" w:rsidP="00B10377">
      <w:pPr>
        <w:spacing w:after="0" w:line="240" w:lineRule="auto"/>
        <w:ind w:hanging="360"/>
        <w:jc w:val="center"/>
        <w:rPr>
          <w:i/>
          <w:iCs/>
          <w:sz w:val="24"/>
          <w:szCs w:val="24"/>
          <w:shd w:val="clear" w:color="auto" w:fill="FFFFFF"/>
        </w:rPr>
      </w:pPr>
      <w:r w:rsidRPr="005C7A66">
        <w:rPr>
          <w:i/>
          <w:iCs/>
          <w:sz w:val="24"/>
          <w:szCs w:val="24"/>
          <w:shd w:val="clear" w:color="auto" w:fill="FFFFFF"/>
        </w:rPr>
        <w:t xml:space="preserve">Angie McLain-Johnson, </w:t>
      </w:r>
      <w:r w:rsidR="009D16A5" w:rsidRPr="005C7A66">
        <w:rPr>
          <w:i/>
          <w:iCs/>
          <w:sz w:val="24"/>
          <w:szCs w:val="24"/>
          <w:shd w:val="clear" w:color="auto" w:fill="FFFFFF"/>
        </w:rPr>
        <w:t xml:space="preserve">MA, CHC, RHIA, </w:t>
      </w:r>
      <w:r w:rsidR="00655DA4">
        <w:rPr>
          <w:i/>
          <w:iCs/>
          <w:sz w:val="24"/>
          <w:szCs w:val="24"/>
          <w:shd w:val="clear" w:color="auto" w:fill="FFFFFF"/>
        </w:rPr>
        <w:t xml:space="preserve">Pafford Medical Services, and </w:t>
      </w:r>
      <w:r w:rsidR="009772DC" w:rsidRPr="005C7A66">
        <w:rPr>
          <w:i/>
          <w:iCs/>
          <w:sz w:val="24"/>
          <w:szCs w:val="24"/>
          <w:shd w:val="clear" w:color="auto" w:fill="FFFFFF"/>
        </w:rPr>
        <w:t>Past President</w:t>
      </w:r>
      <w:r w:rsidR="002F6B61">
        <w:rPr>
          <w:i/>
          <w:iCs/>
          <w:sz w:val="24"/>
          <w:szCs w:val="24"/>
          <w:shd w:val="clear" w:color="auto" w:fill="FFFFFF"/>
        </w:rPr>
        <w:t xml:space="preserve">, </w:t>
      </w:r>
      <w:r w:rsidR="00647428" w:rsidRPr="005C7A66">
        <w:rPr>
          <w:i/>
          <w:iCs/>
          <w:sz w:val="24"/>
          <w:szCs w:val="24"/>
          <w:shd w:val="clear" w:color="auto" w:fill="FFFFFF"/>
        </w:rPr>
        <w:t>OKAMA</w:t>
      </w:r>
    </w:p>
    <w:p w14:paraId="4AC3F307" w14:textId="77777777" w:rsidR="00647428" w:rsidRDefault="00647428" w:rsidP="00542A9B">
      <w:pPr>
        <w:ind w:hanging="360"/>
        <w:jc w:val="both"/>
        <w:rPr>
          <w:b/>
          <w:bCs/>
          <w:sz w:val="28"/>
          <w:szCs w:val="28"/>
          <w:shd w:val="clear" w:color="auto" w:fill="FFFFFF"/>
        </w:rPr>
      </w:pPr>
    </w:p>
    <w:p w14:paraId="7DBD9AA9" w14:textId="6181C734" w:rsidR="00542A9B" w:rsidRPr="00125D61" w:rsidRDefault="00C457EC" w:rsidP="00542A9B">
      <w:pPr>
        <w:ind w:hanging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ab/>
      </w:r>
      <w:r w:rsidR="00542A9B" w:rsidRPr="00125D61">
        <w:rPr>
          <w:b/>
          <w:bCs/>
          <w:sz w:val="28"/>
          <w:szCs w:val="28"/>
          <w:shd w:val="clear" w:color="auto" w:fill="FFFFFF"/>
        </w:rPr>
        <w:t>Omnibus COVID-19 Health Care Staff Vaccination Regulation</w:t>
      </w:r>
    </w:p>
    <w:p w14:paraId="06F02362" w14:textId="61DE06AB" w:rsidR="00111400" w:rsidRPr="0065368C" w:rsidRDefault="00653012" w:rsidP="00542A9B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On November 5</w:t>
      </w:r>
      <w:r w:rsidRPr="00653012">
        <w:rPr>
          <w:sz w:val="24"/>
          <w:szCs w:val="24"/>
          <w:shd w:val="clear" w:color="auto" w:fill="FFFFFF"/>
          <w:vertAlign w:val="superscript"/>
        </w:rPr>
        <w:t>th</w:t>
      </w:r>
      <w:r>
        <w:rPr>
          <w:sz w:val="24"/>
          <w:szCs w:val="24"/>
          <w:shd w:val="clear" w:color="auto" w:fill="FFFFFF"/>
        </w:rPr>
        <w:t>, CMS</w:t>
      </w:r>
      <w:r w:rsidR="00722E16" w:rsidRPr="0065368C">
        <w:rPr>
          <w:sz w:val="24"/>
          <w:szCs w:val="24"/>
          <w:shd w:val="clear" w:color="auto" w:fill="FFFFFF"/>
        </w:rPr>
        <w:t xml:space="preserve"> announced the Omnibus COVID-19 Health Care Staff Vaccination Regulation, which applies to Medicare and Medicaid facilities, including hospitals, home health agencies and ambulatory surgery centers, </w:t>
      </w:r>
      <w:r w:rsidR="00404AA3" w:rsidRPr="0065368C">
        <w:rPr>
          <w:sz w:val="24"/>
          <w:szCs w:val="24"/>
          <w:shd w:val="clear" w:color="auto" w:fill="FFFFFF"/>
        </w:rPr>
        <w:t>which</w:t>
      </w:r>
      <w:r w:rsidR="00722E16" w:rsidRPr="0065368C">
        <w:rPr>
          <w:sz w:val="24"/>
          <w:szCs w:val="24"/>
          <w:shd w:val="clear" w:color="auto" w:fill="FFFFFF"/>
        </w:rPr>
        <w:t xml:space="preserve"> are regulated by the Medicare conditions of participation (CoPs).</w:t>
      </w:r>
      <w:r w:rsidR="00722E16" w:rsidRPr="0065368C">
        <w:rPr>
          <w:sz w:val="24"/>
          <w:szCs w:val="24"/>
        </w:rPr>
        <w:t xml:space="preserve"> </w:t>
      </w:r>
    </w:p>
    <w:p w14:paraId="3243AD88" w14:textId="50E2A903" w:rsidR="00722E16" w:rsidRPr="0065368C" w:rsidRDefault="00722E16" w:rsidP="00542A9B">
      <w:pPr>
        <w:jc w:val="both"/>
        <w:rPr>
          <w:sz w:val="24"/>
          <w:szCs w:val="24"/>
        </w:rPr>
      </w:pPr>
      <w:r w:rsidRPr="0065368C">
        <w:rPr>
          <w:sz w:val="24"/>
          <w:szCs w:val="24"/>
        </w:rPr>
        <w:t xml:space="preserve">Currently, Ambulance Services, not associated with a facility </w:t>
      </w:r>
      <w:r w:rsidR="001F4D12">
        <w:rPr>
          <w:sz w:val="24"/>
          <w:szCs w:val="24"/>
        </w:rPr>
        <w:t xml:space="preserve">are </w:t>
      </w:r>
      <w:r w:rsidRPr="0065368C">
        <w:rPr>
          <w:sz w:val="24"/>
          <w:szCs w:val="24"/>
        </w:rPr>
        <w:t>considered an Ambulance Supplier and do</w:t>
      </w:r>
      <w:r w:rsidR="001F4D12">
        <w:rPr>
          <w:sz w:val="24"/>
          <w:szCs w:val="24"/>
        </w:rPr>
        <w:t xml:space="preserve"> </w:t>
      </w:r>
      <w:r w:rsidRPr="0065368C">
        <w:rPr>
          <w:sz w:val="24"/>
          <w:szCs w:val="24"/>
        </w:rPr>
        <w:t>not directly fall under this regulation.</w:t>
      </w:r>
    </w:p>
    <w:p w14:paraId="1A7383D4" w14:textId="563224F6" w:rsidR="00722E16" w:rsidRPr="0065368C" w:rsidRDefault="001F4D12" w:rsidP="00542A9B">
      <w:pPr>
        <w:pStyle w:val="ListParagraph"/>
        <w:numPr>
          <w:ilvl w:val="0"/>
          <w:numId w:val="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722E16" w:rsidRPr="0065368C">
        <w:rPr>
          <w:sz w:val="24"/>
          <w:szCs w:val="24"/>
        </w:rPr>
        <w:t>December 6</w:t>
      </w:r>
      <w:r w:rsidR="00722E16" w:rsidRPr="0065368C">
        <w:rPr>
          <w:sz w:val="24"/>
          <w:szCs w:val="24"/>
          <w:vertAlign w:val="superscript"/>
        </w:rPr>
        <w:t>th</w:t>
      </w:r>
      <w:r w:rsidR="00722E16" w:rsidRPr="0065368C">
        <w:rPr>
          <w:sz w:val="24"/>
          <w:szCs w:val="24"/>
        </w:rPr>
        <w:t>, providers are required to have a plan for vaccinating staff, except for individuals that meet an exception or accommodation</w:t>
      </w:r>
      <w:r w:rsidR="00404AA3" w:rsidRPr="0065368C">
        <w:rPr>
          <w:sz w:val="24"/>
          <w:szCs w:val="24"/>
        </w:rPr>
        <w:t xml:space="preserve">. </w:t>
      </w:r>
      <w:r w:rsidR="00722E16" w:rsidRPr="0065368C">
        <w:rPr>
          <w:sz w:val="24"/>
          <w:szCs w:val="24"/>
        </w:rPr>
        <w:t xml:space="preserve">The plan must </w:t>
      </w:r>
      <w:r w:rsidR="00A2757D" w:rsidRPr="0065368C">
        <w:rPr>
          <w:sz w:val="24"/>
          <w:szCs w:val="24"/>
        </w:rPr>
        <w:t>include</w:t>
      </w:r>
      <w:r w:rsidR="00722E16" w:rsidRPr="0065368C">
        <w:rPr>
          <w:sz w:val="24"/>
          <w:szCs w:val="24"/>
        </w:rPr>
        <w:t xml:space="preserve"> tracking and documentation of staff vaccinations. </w:t>
      </w:r>
    </w:p>
    <w:p w14:paraId="4B88D5C8" w14:textId="10A9C72F" w:rsidR="00A44A80" w:rsidRPr="0065368C" w:rsidRDefault="00722E16" w:rsidP="00542A9B">
      <w:pPr>
        <w:pStyle w:val="ListParagraph"/>
        <w:numPr>
          <w:ilvl w:val="0"/>
          <w:numId w:val="1"/>
        </w:numPr>
        <w:ind w:left="1080"/>
        <w:jc w:val="both"/>
        <w:rPr>
          <w:sz w:val="24"/>
          <w:szCs w:val="24"/>
        </w:rPr>
      </w:pPr>
      <w:r w:rsidRPr="0065368C">
        <w:rPr>
          <w:sz w:val="24"/>
          <w:szCs w:val="24"/>
        </w:rPr>
        <w:t>Every employee “who provides care, treatment or other services at the facility” must have one vaccine</w:t>
      </w:r>
      <w:r w:rsidR="001F4D12">
        <w:rPr>
          <w:sz w:val="24"/>
          <w:szCs w:val="24"/>
        </w:rPr>
        <w:t xml:space="preserve"> dose administered</w:t>
      </w:r>
      <w:r w:rsidRPr="0065368C">
        <w:rPr>
          <w:sz w:val="24"/>
          <w:szCs w:val="24"/>
        </w:rPr>
        <w:t>, or the first of two dose shots by December 6</w:t>
      </w:r>
      <w:r w:rsidRPr="0065368C">
        <w:rPr>
          <w:sz w:val="24"/>
          <w:szCs w:val="24"/>
          <w:vertAlign w:val="superscript"/>
        </w:rPr>
        <w:t>th</w:t>
      </w:r>
      <w:r w:rsidR="00A44A80" w:rsidRPr="0065368C">
        <w:rPr>
          <w:sz w:val="24"/>
          <w:szCs w:val="24"/>
        </w:rPr>
        <w:t>.</w:t>
      </w:r>
    </w:p>
    <w:p w14:paraId="4C3CABA7" w14:textId="67DC2912" w:rsidR="00A44A80" w:rsidRPr="0065368C" w:rsidRDefault="00A44A80" w:rsidP="00542A9B">
      <w:pPr>
        <w:pStyle w:val="ListParagraph"/>
        <w:numPr>
          <w:ilvl w:val="0"/>
          <w:numId w:val="1"/>
        </w:numPr>
        <w:ind w:left="1080"/>
        <w:jc w:val="both"/>
        <w:rPr>
          <w:sz w:val="24"/>
          <w:szCs w:val="24"/>
        </w:rPr>
      </w:pPr>
      <w:r w:rsidRPr="0065368C">
        <w:rPr>
          <w:sz w:val="24"/>
          <w:szCs w:val="24"/>
        </w:rPr>
        <w:t xml:space="preserve">These individuals must be fully vaccinated by </w:t>
      </w:r>
      <w:r w:rsidR="00097104" w:rsidRPr="0065368C">
        <w:rPr>
          <w:sz w:val="24"/>
          <w:szCs w:val="24"/>
        </w:rPr>
        <w:t>Jan 4</w:t>
      </w:r>
      <w:r w:rsidR="00097104" w:rsidRPr="0065368C">
        <w:rPr>
          <w:sz w:val="24"/>
          <w:szCs w:val="24"/>
          <w:vertAlign w:val="superscript"/>
        </w:rPr>
        <w:t>th</w:t>
      </w:r>
      <w:r w:rsidR="00097104" w:rsidRPr="0065368C">
        <w:rPr>
          <w:sz w:val="24"/>
          <w:szCs w:val="24"/>
        </w:rPr>
        <w:t xml:space="preserve"> unless</w:t>
      </w:r>
      <w:r w:rsidRPr="0065368C">
        <w:rPr>
          <w:sz w:val="24"/>
          <w:szCs w:val="24"/>
        </w:rPr>
        <w:t xml:space="preserve"> they have an exemption.</w:t>
      </w:r>
    </w:p>
    <w:p w14:paraId="0505452D" w14:textId="4AE31213" w:rsidR="00A44A80" w:rsidRPr="0065368C" w:rsidRDefault="00A44A80" w:rsidP="00542A9B">
      <w:pPr>
        <w:pStyle w:val="ListParagraph"/>
        <w:numPr>
          <w:ilvl w:val="0"/>
          <w:numId w:val="1"/>
        </w:numPr>
        <w:ind w:left="1080"/>
        <w:jc w:val="both"/>
        <w:rPr>
          <w:sz w:val="24"/>
          <w:szCs w:val="24"/>
        </w:rPr>
      </w:pPr>
      <w:r w:rsidRPr="0065368C">
        <w:rPr>
          <w:sz w:val="24"/>
          <w:szCs w:val="24"/>
        </w:rPr>
        <w:t>Exceptions are allowed for medical and religious exemptions</w:t>
      </w:r>
      <w:r w:rsidR="00404AA3" w:rsidRPr="0065368C">
        <w:rPr>
          <w:sz w:val="24"/>
          <w:szCs w:val="24"/>
        </w:rPr>
        <w:t xml:space="preserve">. </w:t>
      </w:r>
      <w:r w:rsidR="00125D61" w:rsidRPr="0065368C">
        <w:rPr>
          <w:sz w:val="24"/>
          <w:szCs w:val="24"/>
        </w:rPr>
        <w:t>To</w:t>
      </w:r>
      <w:r w:rsidRPr="0065368C">
        <w:rPr>
          <w:sz w:val="24"/>
          <w:szCs w:val="24"/>
        </w:rPr>
        <w:t xml:space="preserve"> meet the </w:t>
      </w:r>
      <w:r w:rsidR="00097104" w:rsidRPr="0065368C">
        <w:rPr>
          <w:sz w:val="24"/>
          <w:szCs w:val="24"/>
        </w:rPr>
        <w:t>exemption,</w:t>
      </w:r>
      <w:r w:rsidRPr="0065368C">
        <w:rPr>
          <w:sz w:val="24"/>
          <w:szCs w:val="24"/>
        </w:rPr>
        <w:t xml:space="preserve"> there must be:</w:t>
      </w:r>
    </w:p>
    <w:p w14:paraId="42414AE0" w14:textId="674115CF" w:rsidR="00A44A80" w:rsidRPr="0065368C" w:rsidRDefault="00A44A80" w:rsidP="00125D61">
      <w:pPr>
        <w:pStyle w:val="ListParagraph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 w:rsidRPr="0065368C">
        <w:rPr>
          <w:sz w:val="24"/>
          <w:szCs w:val="24"/>
        </w:rPr>
        <w:t xml:space="preserve">If medical, the reason the vaccines are clinically contraindicated </w:t>
      </w:r>
      <w:r w:rsidR="00404AA3">
        <w:rPr>
          <w:sz w:val="24"/>
          <w:szCs w:val="24"/>
        </w:rPr>
        <w:t>should</w:t>
      </w:r>
      <w:r w:rsidRPr="0065368C">
        <w:rPr>
          <w:sz w:val="24"/>
          <w:szCs w:val="24"/>
        </w:rPr>
        <w:t xml:space="preserve"> be documented, with a statement from an authenticating </w:t>
      </w:r>
      <w:r w:rsidR="00097104" w:rsidRPr="0065368C">
        <w:rPr>
          <w:sz w:val="24"/>
          <w:szCs w:val="24"/>
        </w:rPr>
        <w:t>practitioner</w:t>
      </w:r>
      <w:r w:rsidRPr="0065368C">
        <w:rPr>
          <w:sz w:val="24"/>
          <w:szCs w:val="24"/>
        </w:rPr>
        <w:t xml:space="preserve"> recommending that the staff member be </w:t>
      </w:r>
      <w:r w:rsidR="00097104" w:rsidRPr="0065368C">
        <w:rPr>
          <w:sz w:val="24"/>
          <w:szCs w:val="24"/>
        </w:rPr>
        <w:t>exempted</w:t>
      </w:r>
      <w:r w:rsidRPr="0065368C">
        <w:rPr>
          <w:sz w:val="24"/>
          <w:szCs w:val="24"/>
        </w:rPr>
        <w:t>.</w:t>
      </w:r>
    </w:p>
    <w:p w14:paraId="1964E0EC" w14:textId="3BFD9D52" w:rsidR="00A44A80" w:rsidRPr="0065368C" w:rsidRDefault="00A44A80" w:rsidP="00125D61">
      <w:pPr>
        <w:pStyle w:val="ListParagraph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 w:rsidRPr="0065368C">
        <w:rPr>
          <w:sz w:val="24"/>
          <w:szCs w:val="24"/>
        </w:rPr>
        <w:t>If for religious reasons, it must be documented by the facility and evaluated in accordance with applicable federal law and as outlined by the facilities policies and procedures.</w:t>
      </w:r>
    </w:p>
    <w:p w14:paraId="25EFABC7" w14:textId="7F2BC843" w:rsidR="00A44A80" w:rsidRPr="008B541F" w:rsidRDefault="00A44A80" w:rsidP="00542A9B">
      <w:pPr>
        <w:jc w:val="both"/>
        <w:rPr>
          <w:i/>
          <w:iCs/>
          <w:sz w:val="24"/>
          <w:szCs w:val="24"/>
        </w:rPr>
      </w:pPr>
      <w:r w:rsidRPr="0065368C">
        <w:rPr>
          <w:i/>
          <w:iCs/>
          <w:sz w:val="24"/>
          <w:szCs w:val="24"/>
        </w:rPr>
        <w:t>Currently, this regulation preempts State and Local laws and States Executive Orders</w:t>
      </w:r>
      <w:r w:rsidR="008B541F">
        <w:rPr>
          <w:i/>
          <w:iCs/>
          <w:sz w:val="24"/>
          <w:szCs w:val="24"/>
        </w:rPr>
        <w:t xml:space="preserve"> </w:t>
      </w:r>
    </w:p>
    <w:p w14:paraId="5BB451E9" w14:textId="371A7061" w:rsidR="00F15EA5" w:rsidRPr="0065368C" w:rsidRDefault="00097104" w:rsidP="00542A9B">
      <w:pPr>
        <w:jc w:val="both"/>
        <w:rPr>
          <w:sz w:val="24"/>
          <w:szCs w:val="24"/>
        </w:rPr>
      </w:pPr>
      <w:r w:rsidRPr="0065368C">
        <w:rPr>
          <w:sz w:val="24"/>
          <w:szCs w:val="24"/>
        </w:rPr>
        <w:t>However, although an Ambulance Supplier does not directly fall under this regulation</w:t>
      </w:r>
      <w:r w:rsidR="00404AA3" w:rsidRPr="0065368C">
        <w:rPr>
          <w:sz w:val="24"/>
          <w:szCs w:val="24"/>
        </w:rPr>
        <w:t xml:space="preserve">. </w:t>
      </w:r>
      <w:r w:rsidR="00D576AA" w:rsidRPr="00C457EC">
        <w:rPr>
          <w:b/>
          <w:bCs/>
          <w:sz w:val="24"/>
          <w:szCs w:val="24"/>
        </w:rPr>
        <w:t>It does apply to individuals who provide care, treatment or other services for a facility and its patients under contract or other arrangements</w:t>
      </w:r>
      <w:r w:rsidR="00404AA3">
        <w:rPr>
          <w:sz w:val="24"/>
          <w:szCs w:val="24"/>
        </w:rPr>
        <w:t xml:space="preserve">. </w:t>
      </w:r>
      <w:r w:rsidRPr="0065368C">
        <w:rPr>
          <w:sz w:val="24"/>
          <w:szCs w:val="24"/>
        </w:rPr>
        <w:t xml:space="preserve">If an Ambulance Supplier is in a direct contracted relationship with a </w:t>
      </w:r>
      <w:r w:rsidR="009772DC" w:rsidRPr="0065368C">
        <w:rPr>
          <w:sz w:val="24"/>
          <w:szCs w:val="24"/>
        </w:rPr>
        <w:t>facility</w:t>
      </w:r>
      <w:r w:rsidR="009772DC">
        <w:rPr>
          <w:sz w:val="24"/>
          <w:szCs w:val="24"/>
        </w:rPr>
        <w:t xml:space="preserve"> and</w:t>
      </w:r>
      <w:r w:rsidRPr="0065368C">
        <w:rPr>
          <w:sz w:val="24"/>
          <w:szCs w:val="24"/>
        </w:rPr>
        <w:t xml:space="preserve"> providing services on behalf of the facility</w:t>
      </w:r>
      <w:r w:rsidR="00D576AA">
        <w:rPr>
          <w:sz w:val="24"/>
          <w:szCs w:val="24"/>
        </w:rPr>
        <w:t xml:space="preserve"> (</w:t>
      </w:r>
      <w:r w:rsidR="00E16693">
        <w:rPr>
          <w:sz w:val="24"/>
          <w:szCs w:val="24"/>
        </w:rPr>
        <w:t xml:space="preserve">i.e., </w:t>
      </w:r>
      <w:r w:rsidR="00D576AA">
        <w:rPr>
          <w:sz w:val="24"/>
          <w:szCs w:val="24"/>
        </w:rPr>
        <w:t>contracted interfacility transports)</w:t>
      </w:r>
      <w:r w:rsidRPr="0065368C">
        <w:rPr>
          <w:sz w:val="24"/>
          <w:szCs w:val="24"/>
        </w:rPr>
        <w:t xml:space="preserve">, </w:t>
      </w:r>
      <w:r w:rsidR="00E16693">
        <w:rPr>
          <w:sz w:val="24"/>
          <w:szCs w:val="24"/>
        </w:rPr>
        <w:t>the</w:t>
      </w:r>
      <w:r w:rsidRPr="0065368C">
        <w:rPr>
          <w:sz w:val="24"/>
          <w:szCs w:val="24"/>
        </w:rPr>
        <w:t xml:space="preserve"> </w:t>
      </w:r>
      <w:r w:rsidR="00C457EC">
        <w:rPr>
          <w:sz w:val="24"/>
          <w:szCs w:val="24"/>
        </w:rPr>
        <w:t xml:space="preserve">facility may request from the </w:t>
      </w:r>
      <w:r w:rsidRPr="0065368C">
        <w:rPr>
          <w:sz w:val="24"/>
          <w:szCs w:val="24"/>
        </w:rPr>
        <w:t xml:space="preserve">Ambulance Supplier </w:t>
      </w:r>
      <w:r w:rsidR="00E16693">
        <w:rPr>
          <w:sz w:val="24"/>
          <w:szCs w:val="24"/>
        </w:rPr>
        <w:t>to provide proof to the facility regarding compliance</w:t>
      </w:r>
      <w:r w:rsidR="00404AA3" w:rsidRPr="0065368C">
        <w:rPr>
          <w:sz w:val="24"/>
          <w:szCs w:val="24"/>
        </w:rPr>
        <w:t xml:space="preserve">. </w:t>
      </w:r>
    </w:p>
    <w:p w14:paraId="2057A132" w14:textId="5CF5EC6C" w:rsidR="002C2F37" w:rsidRPr="00125D61" w:rsidRDefault="00F15EA5" w:rsidP="00542A9B">
      <w:pPr>
        <w:rPr>
          <w:sz w:val="28"/>
          <w:szCs w:val="28"/>
          <w:shd w:val="clear" w:color="auto" w:fill="FFFFFF"/>
        </w:rPr>
      </w:pPr>
      <w:r w:rsidRPr="00125D61">
        <w:rPr>
          <w:b/>
          <w:bCs/>
          <w:sz w:val="28"/>
          <w:szCs w:val="28"/>
          <w:shd w:val="clear" w:color="auto" w:fill="FFFFFF"/>
        </w:rPr>
        <w:t>Occupational Safety and Health Administration (OSHA)</w:t>
      </w:r>
      <w:r w:rsidRPr="00125D61">
        <w:rPr>
          <w:sz w:val="28"/>
          <w:szCs w:val="28"/>
          <w:shd w:val="clear" w:color="auto" w:fill="FFFFFF"/>
        </w:rPr>
        <w:t xml:space="preserve"> </w:t>
      </w:r>
    </w:p>
    <w:p w14:paraId="19D69AB5" w14:textId="3A5DEAED" w:rsidR="00542A9B" w:rsidRPr="0065368C" w:rsidRDefault="00542A9B" w:rsidP="00542A9B">
      <w:pPr>
        <w:rPr>
          <w:rStyle w:val="corm-link"/>
          <w:rFonts w:cstheme="minorHAnsi"/>
          <w:b/>
          <w:bCs/>
          <w:sz w:val="24"/>
          <w:szCs w:val="24"/>
          <w:shd w:val="clear" w:color="auto" w:fill="FFFFFF"/>
        </w:rPr>
      </w:pPr>
      <w:r w:rsidRPr="0065368C">
        <w:rPr>
          <w:rFonts w:cstheme="minorHAnsi"/>
          <w:b/>
          <w:bCs/>
          <w:sz w:val="24"/>
          <w:szCs w:val="24"/>
          <w:shd w:val="clear" w:color="auto" w:fill="FFFFFF"/>
        </w:rPr>
        <w:t>COVID-19 Vaccination and Testing; Emergency Temporary Standard,</w:t>
      </w:r>
      <w:r w:rsidRPr="0065368C">
        <w:rPr>
          <w:rStyle w:val="corm-link"/>
          <w:rFonts w:cstheme="minorHAnsi"/>
          <w:b/>
          <w:bCs/>
          <w:sz w:val="24"/>
          <w:szCs w:val="24"/>
          <w:shd w:val="clear" w:color="auto" w:fill="FFFFFF"/>
        </w:rPr>
        <w:t xml:space="preserve"> 86 Fed. Reg. 61,402 </w:t>
      </w:r>
      <w:r w:rsidR="003A25FD" w:rsidRPr="0065368C">
        <w:rPr>
          <w:rStyle w:val="corm-link"/>
          <w:rFonts w:cstheme="minorHAnsi"/>
          <w:b/>
          <w:bCs/>
          <w:sz w:val="24"/>
          <w:szCs w:val="24"/>
          <w:shd w:val="clear" w:color="auto" w:fill="FFFFFF"/>
        </w:rPr>
        <w:t>(Vaccination and Testing ETS)</w:t>
      </w:r>
    </w:p>
    <w:p w14:paraId="53A15F41" w14:textId="271D1B38" w:rsidR="003A25FD" w:rsidRPr="0065368C" w:rsidRDefault="00542A9B" w:rsidP="00C457EC">
      <w:pPr>
        <w:jc w:val="both"/>
        <w:rPr>
          <w:rFonts w:ascii="Merriweather" w:hAnsi="Merriweather"/>
          <w:sz w:val="24"/>
          <w:szCs w:val="24"/>
          <w:shd w:val="clear" w:color="auto" w:fill="FFFFFF"/>
        </w:rPr>
      </w:pPr>
      <w:r w:rsidRPr="0065368C">
        <w:rPr>
          <w:sz w:val="24"/>
          <w:szCs w:val="24"/>
          <w:shd w:val="clear" w:color="auto" w:fill="FFFFFF"/>
        </w:rPr>
        <w:lastRenderedPageBreak/>
        <w:t>This regulation</w:t>
      </w:r>
      <w:r w:rsidR="00F15EA5" w:rsidRPr="0065368C">
        <w:rPr>
          <w:sz w:val="24"/>
          <w:szCs w:val="24"/>
          <w:shd w:val="clear" w:color="auto" w:fill="FFFFFF"/>
        </w:rPr>
        <w:t xml:space="preserve"> requires employers with </w:t>
      </w:r>
      <w:r w:rsidR="00404AA3" w:rsidRPr="0065368C">
        <w:rPr>
          <w:sz w:val="24"/>
          <w:szCs w:val="24"/>
          <w:shd w:val="clear" w:color="auto" w:fill="FFFFFF"/>
        </w:rPr>
        <w:t>one hundred</w:t>
      </w:r>
      <w:r w:rsidR="00F15EA5" w:rsidRPr="0065368C">
        <w:rPr>
          <w:sz w:val="24"/>
          <w:szCs w:val="24"/>
          <w:shd w:val="clear" w:color="auto" w:fill="FFFFFF"/>
        </w:rPr>
        <w:t xml:space="preserve"> or more employees to implement a policy requiring them to get vaccinated by Jan. 4 or be tested weekly and wear a mask</w:t>
      </w:r>
      <w:r w:rsidR="00404AA3" w:rsidRPr="0065368C">
        <w:rPr>
          <w:sz w:val="24"/>
          <w:szCs w:val="24"/>
          <w:shd w:val="clear" w:color="auto" w:fill="FFFFFF"/>
        </w:rPr>
        <w:t xml:space="preserve">. </w:t>
      </w:r>
      <w:r w:rsidR="00F15EA5" w:rsidRPr="0065368C">
        <w:rPr>
          <w:sz w:val="24"/>
          <w:szCs w:val="24"/>
          <w:shd w:val="clear" w:color="auto" w:fill="FFFFFF"/>
        </w:rPr>
        <w:t xml:space="preserve">If </w:t>
      </w:r>
      <w:r w:rsidR="00404AA3" w:rsidRPr="0065368C">
        <w:rPr>
          <w:sz w:val="24"/>
          <w:szCs w:val="24"/>
          <w:shd w:val="clear" w:color="auto" w:fill="FFFFFF"/>
        </w:rPr>
        <w:t>you are</w:t>
      </w:r>
      <w:r w:rsidR="00F15EA5" w:rsidRPr="0065368C">
        <w:rPr>
          <w:sz w:val="24"/>
          <w:szCs w:val="24"/>
          <w:shd w:val="clear" w:color="auto" w:fill="FFFFFF"/>
        </w:rPr>
        <w:t xml:space="preserve"> covered by CMS, </w:t>
      </w:r>
      <w:r w:rsidR="00404AA3" w:rsidRPr="0065368C">
        <w:rPr>
          <w:sz w:val="24"/>
          <w:szCs w:val="24"/>
          <w:shd w:val="clear" w:color="auto" w:fill="FFFFFF"/>
        </w:rPr>
        <w:t>you are</w:t>
      </w:r>
      <w:r w:rsidR="00F15EA5" w:rsidRPr="0065368C">
        <w:rPr>
          <w:sz w:val="24"/>
          <w:szCs w:val="24"/>
          <w:shd w:val="clear" w:color="auto" w:fill="FFFFFF"/>
        </w:rPr>
        <w:t xml:space="preserve"> not covered by OSHA</w:t>
      </w:r>
      <w:r w:rsidRPr="0065368C">
        <w:rPr>
          <w:sz w:val="24"/>
          <w:szCs w:val="24"/>
          <w:shd w:val="clear" w:color="auto" w:fill="FFFFFF"/>
        </w:rPr>
        <w:t xml:space="preserve">, </w:t>
      </w:r>
      <w:r w:rsidR="00404AA3" w:rsidRPr="0065368C">
        <w:rPr>
          <w:sz w:val="24"/>
          <w:szCs w:val="24"/>
          <w:shd w:val="clear" w:color="auto" w:fill="FFFFFF"/>
        </w:rPr>
        <w:t>it is</w:t>
      </w:r>
      <w:r w:rsidR="00F15EA5" w:rsidRPr="0065368C">
        <w:rPr>
          <w:sz w:val="24"/>
          <w:szCs w:val="24"/>
          <w:shd w:val="clear" w:color="auto" w:fill="FFFFFF"/>
        </w:rPr>
        <w:t xml:space="preserve"> one or the other</w:t>
      </w:r>
      <w:r w:rsidR="00404AA3" w:rsidRPr="0065368C">
        <w:rPr>
          <w:sz w:val="24"/>
          <w:szCs w:val="24"/>
          <w:shd w:val="clear" w:color="auto" w:fill="FFFFFF"/>
        </w:rPr>
        <w:t xml:space="preserve">. </w:t>
      </w:r>
      <w:r w:rsidRPr="0065368C">
        <w:rPr>
          <w:b/>
          <w:bCs/>
          <w:sz w:val="24"/>
          <w:szCs w:val="24"/>
          <w:u w:val="single"/>
          <w:shd w:val="clear" w:color="auto" w:fill="FFFFFF"/>
        </w:rPr>
        <w:t xml:space="preserve">The </w:t>
      </w:r>
      <w:r w:rsidR="00F15EA5" w:rsidRPr="0065368C">
        <w:rPr>
          <w:b/>
          <w:bCs/>
          <w:sz w:val="24"/>
          <w:szCs w:val="24"/>
          <w:u w:val="single"/>
          <w:shd w:val="clear" w:color="auto" w:fill="FFFFFF"/>
        </w:rPr>
        <w:t>OSHA requirement is temporarily on hold</w:t>
      </w:r>
      <w:r w:rsidR="003A25FD" w:rsidRPr="0065368C">
        <w:rPr>
          <w:sz w:val="24"/>
          <w:szCs w:val="24"/>
          <w:shd w:val="clear" w:color="auto" w:fill="FFFFFF"/>
        </w:rPr>
        <w:t>.</w:t>
      </w:r>
    </w:p>
    <w:p w14:paraId="37EAE9DB" w14:textId="04B2EDFF" w:rsidR="00722E16" w:rsidRDefault="0065368C" w:rsidP="00C457EC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At</w:t>
      </w:r>
      <w:r w:rsidR="003A25FD" w:rsidRPr="0065368C">
        <w:rPr>
          <w:rFonts w:cstheme="minorHAnsi"/>
          <w:sz w:val="24"/>
          <w:szCs w:val="24"/>
          <w:shd w:val="clear" w:color="auto" w:fill="FFFFFF"/>
        </w:rPr>
        <w:t xml:space="preserve"> least </w:t>
      </w:r>
      <w:r>
        <w:rPr>
          <w:rFonts w:cstheme="minorHAnsi"/>
          <w:sz w:val="24"/>
          <w:szCs w:val="24"/>
          <w:shd w:val="clear" w:color="auto" w:fill="FFFFFF"/>
        </w:rPr>
        <w:t>thirty-four</w:t>
      </w:r>
      <w:r w:rsidR="003A25FD" w:rsidRPr="0065368C">
        <w:rPr>
          <w:rFonts w:cstheme="minorHAnsi"/>
          <w:sz w:val="24"/>
          <w:szCs w:val="24"/>
          <w:shd w:val="clear" w:color="auto" w:fill="FFFFFF"/>
        </w:rPr>
        <w:t xml:space="preserve"> lawsuits were filed nationwide seeking to permanently stay or rule unconstitutional the Emergency Temporary Standard (ETS) announced by the U.S. Occupational Safety and Health Administration (OSHA)</w:t>
      </w:r>
      <w:r w:rsidR="00404AA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457E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25FD" w:rsidRPr="0065368C">
        <w:rPr>
          <w:rFonts w:cstheme="minorHAnsi"/>
          <w:sz w:val="24"/>
          <w:szCs w:val="24"/>
          <w:shd w:val="clear" w:color="auto" w:fill="FFFFFF"/>
        </w:rPr>
        <w:t xml:space="preserve">OSHA announced November 18, </w:t>
      </w:r>
      <w:r w:rsidRPr="0065368C">
        <w:rPr>
          <w:rFonts w:cstheme="minorHAnsi"/>
          <w:sz w:val="24"/>
          <w:szCs w:val="24"/>
          <w:shd w:val="clear" w:color="auto" w:fill="FFFFFF"/>
        </w:rPr>
        <w:t>2021,</w:t>
      </w:r>
      <w:r w:rsidR="003A25FD" w:rsidRPr="0065368C">
        <w:rPr>
          <w:rFonts w:cstheme="minorHAnsi"/>
          <w:sz w:val="24"/>
          <w:szCs w:val="24"/>
          <w:shd w:val="clear" w:color="auto" w:fill="FFFFFF"/>
        </w:rPr>
        <w:t xml:space="preserve"> that it would stay enforcement of the ETS pending court review. The Sixth Circuit Court of Appeals was drawn in a lottery to hear and resolve all matters related to these now-consolidated challenges to the ETS</w:t>
      </w:r>
      <w:r w:rsidR="00C457EC">
        <w:rPr>
          <w:rFonts w:cstheme="minorHAnsi"/>
          <w:sz w:val="24"/>
          <w:szCs w:val="24"/>
          <w:shd w:val="clear" w:color="auto" w:fill="FFFFFF"/>
        </w:rPr>
        <w:t xml:space="preserve"> (National Law Review, 2021)</w:t>
      </w:r>
      <w:r w:rsidR="009772DC">
        <w:rPr>
          <w:rFonts w:cstheme="minorHAnsi"/>
          <w:sz w:val="24"/>
          <w:szCs w:val="24"/>
          <w:shd w:val="clear" w:color="auto" w:fill="FFFFFF"/>
        </w:rPr>
        <w:t>.</w:t>
      </w:r>
    </w:p>
    <w:p w14:paraId="5B9AC9B4" w14:textId="2A2F53C0" w:rsidR="0065368C" w:rsidRPr="0065368C" w:rsidRDefault="0065368C" w:rsidP="00C457EC">
      <w:pPr>
        <w:jc w:val="both"/>
        <w:rPr>
          <w:b/>
          <w:bCs/>
          <w:i/>
          <w:iCs/>
          <w:sz w:val="24"/>
          <w:szCs w:val="24"/>
        </w:rPr>
      </w:pPr>
      <w:r w:rsidRPr="0065368C">
        <w:rPr>
          <w:b/>
          <w:bCs/>
          <w:sz w:val="24"/>
          <w:szCs w:val="24"/>
        </w:rPr>
        <w:t>HEALTHCARE ETS</w:t>
      </w:r>
      <w:r w:rsidR="00890044">
        <w:rPr>
          <w:b/>
          <w:bCs/>
          <w:sz w:val="24"/>
          <w:szCs w:val="24"/>
        </w:rPr>
        <w:t xml:space="preserve">, </w:t>
      </w:r>
      <w:r w:rsidRPr="009772DC">
        <w:rPr>
          <w:b/>
          <w:bCs/>
          <w:sz w:val="24"/>
          <w:szCs w:val="24"/>
        </w:rPr>
        <w:t>29 CFR 1910.502</w:t>
      </w:r>
    </w:p>
    <w:p w14:paraId="5C38D8AE" w14:textId="77777777" w:rsidR="0065368C" w:rsidRPr="0065368C" w:rsidRDefault="0065368C" w:rsidP="00C457E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65368C">
        <w:rPr>
          <w:rFonts w:cstheme="minorHAnsi"/>
          <w:sz w:val="24"/>
          <w:szCs w:val="24"/>
          <w:shd w:val="clear" w:color="auto" w:fill="FFFFFF"/>
        </w:rPr>
        <w:t>Applies to settings where employee provides healthcare or healthcare support services.</w:t>
      </w:r>
    </w:p>
    <w:p w14:paraId="0BDD6055" w14:textId="4417AD36" w:rsidR="0065368C" w:rsidRDefault="0065368C" w:rsidP="00C457E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65368C">
        <w:rPr>
          <w:rFonts w:cstheme="minorHAnsi"/>
          <w:sz w:val="24"/>
          <w:szCs w:val="24"/>
          <w:shd w:val="clear" w:color="auto" w:fill="FFFFFF"/>
        </w:rPr>
        <w:t>Fully vaccinated workers are exempt from masking, distancing, and barrier requirements in well-defined areas where no reasonable expectation that any person with suspected or confirmed Covid-19 will be present.</w:t>
      </w:r>
    </w:p>
    <w:p w14:paraId="5B5CC80F" w14:textId="1290FD7B" w:rsidR="0065368C" w:rsidRPr="0065368C" w:rsidRDefault="0065368C" w:rsidP="00C457E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Does not require mandatory vaccination.</w:t>
      </w:r>
    </w:p>
    <w:p w14:paraId="05B0D775" w14:textId="7EEFB81F" w:rsidR="009772DC" w:rsidRPr="009772DC" w:rsidRDefault="0065368C" w:rsidP="00C457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494949"/>
          <w:sz w:val="28"/>
          <w:szCs w:val="28"/>
        </w:rPr>
      </w:pPr>
      <w:r w:rsidRPr="009772DC">
        <w:rPr>
          <w:rFonts w:cstheme="minorHAnsi"/>
          <w:sz w:val="24"/>
          <w:szCs w:val="24"/>
          <w:shd w:val="clear" w:color="auto" w:fill="FFFFFF"/>
        </w:rPr>
        <w:t xml:space="preserve">Healthcare support services, of the Healthcare ETS, that are not subject to the Healthcare ETS because these employees are segregated in non-healthcare settings (stand-alone administrative facilities), those employees will be subject to the requirements Vaccination and Testing ETS (which </w:t>
      </w:r>
      <w:r w:rsidR="009772DC">
        <w:rPr>
          <w:rFonts w:cstheme="minorHAnsi"/>
          <w:sz w:val="24"/>
          <w:szCs w:val="24"/>
          <w:shd w:val="clear" w:color="auto" w:fill="FFFFFF"/>
        </w:rPr>
        <w:t>is</w:t>
      </w:r>
      <w:r w:rsidRPr="009772DC">
        <w:rPr>
          <w:rFonts w:cstheme="minorHAnsi"/>
          <w:sz w:val="24"/>
          <w:szCs w:val="24"/>
          <w:shd w:val="clear" w:color="auto" w:fill="FFFFFF"/>
        </w:rPr>
        <w:t xml:space="preserve"> currently on hold).</w:t>
      </w:r>
    </w:p>
    <w:p w14:paraId="69E40249" w14:textId="77777777" w:rsidR="00890044" w:rsidRDefault="00890044" w:rsidP="00C457EC">
      <w:pPr>
        <w:pStyle w:val="ListParagraph"/>
        <w:ind w:left="0"/>
        <w:jc w:val="both"/>
        <w:rPr>
          <w:rFonts w:ascii="Calibri" w:hAnsi="Calibri" w:cs="Calibri"/>
          <w:b/>
          <w:bCs/>
          <w:color w:val="494949"/>
          <w:sz w:val="28"/>
          <w:szCs w:val="28"/>
        </w:rPr>
      </w:pPr>
    </w:p>
    <w:p w14:paraId="70D2A1EC" w14:textId="400A657B" w:rsidR="0065368C" w:rsidRPr="009772DC" w:rsidRDefault="00125D61" w:rsidP="00C457EC">
      <w:pPr>
        <w:pStyle w:val="ListParagraph"/>
        <w:ind w:left="0"/>
        <w:jc w:val="both"/>
        <w:rPr>
          <w:rFonts w:ascii="Calibri" w:hAnsi="Calibri" w:cs="Calibri"/>
          <w:b/>
          <w:bCs/>
          <w:color w:val="494949"/>
          <w:sz w:val="28"/>
          <w:szCs w:val="28"/>
        </w:rPr>
      </w:pPr>
      <w:r w:rsidRPr="009772DC">
        <w:rPr>
          <w:rFonts w:ascii="Calibri" w:hAnsi="Calibri" w:cs="Calibri"/>
          <w:b/>
          <w:bCs/>
          <w:color w:val="494949"/>
          <w:sz w:val="28"/>
          <w:szCs w:val="28"/>
        </w:rPr>
        <w:t>Executive Order on Ensuring Adequate COVID Safety Protocols for Federal Contractors</w:t>
      </w:r>
    </w:p>
    <w:p w14:paraId="5790DD15" w14:textId="505A189B" w:rsidR="00125D61" w:rsidRPr="00C625E5" w:rsidRDefault="00125D61" w:rsidP="00C457E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125D61">
        <w:rPr>
          <w:rFonts w:ascii="Calibri" w:hAnsi="Calibri" w:cs="Calibri"/>
          <w:color w:val="494949"/>
          <w:sz w:val="24"/>
          <w:szCs w:val="24"/>
        </w:rPr>
        <w:t xml:space="preserve">Effective Jan. </w:t>
      </w:r>
      <w:r w:rsidR="00C625E5">
        <w:rPr>
          <w:rFonts w:ascii="Calibri" w:hAnsi="Calibri" w:cs="Calibri"/>
          <w:color w:val="494949"/>
          <w:sz w:val="24"/>
          <w:szCs w:val="24"/>
        </w:rPr>
        <w:t>18</w:t>
      </w:r>
      <w:r w:rsidRPr="00125D61">
        <w:rPr>
          <w:rFonts w:ascii="Calibri" w:hAnsi="Calibri" w:cs="Calibri"/>
          <w:color w:val="494949"/>
          <w:sz w:val="24"/>
          <w:szCs w:val="24"/>
        </w:rPr>
        <w:t xml:space="preserve">, 2022, </w:t>
      </w:r>
      <w:r w:rsidR="009B328C" w:rsidRPr="00BC6791">
        <w:rPr>
          <w:rFonts w:ascii="Calibri" w:hAnsi="Calibri" w:cs="Calibri"/>
          <w:b/>
          <w:bCs/>
          <w:color w:val="494949"/>
          <w:sz w:val="24"/>
          <w:szCs w:val="24"/>
        </w:rPr>
        <w:t>only</w:t>
      </w:r>
      <w:r w:rsidRPr="00BC6791">
        <w:rPr>
          <w:rFonts w:ascii="Calibri" w:hAnsi="Calibri" w:cs="Calibri"/>
          <w:b/>
          <w:bCs/>
          <w:color w:val="494949"/>
          <w:sz w:val="24"/>
          <w:szCs w:val="24"/>
        </w:rPr>
        <w:t xml:space="preserve"> employees working </w:t>
      </w:r>
      <w:r w:rsidR="00C7207B" w:rsidRPr="00BC6791">
        <w:rPr>
          <w:rFonts w:ascii="Calibri" w:hAnsi="Calibri" w:cs="Calibri"/>
          <w:b/>
          <w:bCs/>
          <w:color w:val="494949"/>
          <w:sz w:val="24"/>
          <w:szCs w:val="24"/>
        </w:rPr>
        <w:t xml:space="preserve">directly </w:t>
      </w:r>
      <w:r w:rsidRPr="00BC6791">
        <w:rPr>
          <w:rFonts w:ascii="Calibri" w:hAnsi="Calibri" w:cs="Calibri"/>
          <w:b/>
          <w:bCs/>
          <w:color w:val="494949"/>
          <w:sz w:val="24"/>
          <w:szCs w:val="24"/>
        </w:rPr>
        <w:t xml:space="preserve">on or in connection with </w:t>
      </w:r>
      <w:r w:rsidR="00C457EC" w:rsidRPr="00BC6791">
        <w:rPr>
          <w:rFonts w:ascii="Calibri" w:hAnsi="Calibri" w:cs="Calibri"/>
          <w:b/>
          <w:bCs/>
          <w:color w:val="494949"/>
          <w:sz w:val="24"/>
          <w:szCs w:val="24"/>
        </w:rPr>
        <w:t>a</w:t>
      </w:r>
      <w:r w:rsidR="00C7207B" w:rsidRPr="00BC6791">
        <w:rPr>
          <w:rFonts w:ascii="Calibri" w:hAnsi="Calibri" w:cs="Calibri"/>
          <w:b/>
          <w:bCs/>
          <w:color w:val="494949"/>
          <w:sz w:val="24"/>
          <w:szCs w:val="24"/>
        </w:rPr>
        <w:t xml:space="preserve"> federal contract</w:t>
      </w:r>
      <w:r w:rsidRPr="00125D61">
        <w:rPr>
          <w:rFonts w:ascii="Calibri" w:hAnsi="Calibri" w:cs="Calibri"/>
          <w:color w:val="494949"/>
          <w:sz w:val="24"/>
          <w:szCs w:val="24"/>
        </w:rPr>
        <w:t>, including employees working from home/remotely, are required to be vaccinated against COVID-19</w:t>
      </w:r>
      <w:r w:rsidR="00353EA1">
        <w:rPr>
          <w:rFonts w:ascii="Calibri" w:hAnsi="Calibri" w:cs="Calibri"/>
          <w:color w:val="494949"/>
          <w:sz w:val="24"/>
          <w:szCs w:val="24"/>
        </w:rPr>
        <w:t xml:space="preserve"> unless they qualify for an exemption</w:t>
      </w:r>
      <w:r w:rsidR="00965C9C">
        <w:rPr>
          <w:rFonts w:ascii="Calibri" w:hAnsi="Calibri" w:cs="Calibri"/>
          <w:color w:val="494949"/>
          <w:sz w:val="24"/>
          <w:szCs w:val="24"/>
        </w:rPr>
        <w:t>.  F</w:t>
      </w:r>
      <w:r w:rsidR="00353EA1">
        <w:rPr>
          <w:rFonts w:ascii="Calibri" w:hAnsi="Calibri" w:cs="Calibri"/>
          <w:color w:val="494949"/>
          <w:sz w:val="24"/>
          <w:szCs w:val="24"/>
        </w:rPr>
        <w:t xml:space="preserve">or medical exemption it must meet the </w:t>
      </w:r>
      <w:r w:rsidR="00C625E5">
        <w:rPr>
          <w:rFonts w:ascii="Calibri" w:hAnsi="Calibri" w:cs="Calibri"/>
          <w:color w:val="494949"/>
          <w:sz w:val="24"/>
          <w:szCs w:val="24"/>
        </w:rPr>
        <w:t xml:space="preserve">contraindications as defined by the CDC.  </w:t>
      </w:r>
    </w:p>
    <w:p w14:paraId="569DE63C" w14:textId="41C88F4E" w:rsidR="00C625E5" w:rsidRPr="00125D61" w:rsidRDefault="00C625E5" w:rsidP="00C457E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494949"/>
          <w:sz w:val="24"/>
          <w:szCs w:val="24"/>
        </w:rPr>
        <w:t xml:space="preserve"> A federal contractor is one where there is an agreement between tw</w:t>
      </w:r>
      <w:r w:rsidR="00EF0D0E">
        <w:rPr>
          <w:rFonts w:ascii="Calibri" w:hAnsi="Calibri" w:cs="Calibri"/>
          <w:color w:val="494949"/>
          <w:sz w:val="24"/>
          <w:szCs w:val="24"/>
        </w:rPr>
        <w:t>o</w:t>
      </w:r>
      <w:r>
        <w:rPr>
          <w:rFonts w:ascii="Calibri" w:hAnsi="Calibri" w:cs="Calibri"/>
          <w:color w:val="494949"/>
          <w:sz w:val="24"/>
          <w:szCs w:val="24"/>
        </w:rPr>
        <w:t xml:space="preserve"> or more parties creating an obligation </w:t>
      </w:r>
      <w:r w:rsidR="00C7207B">
        <w:rPr>
          <w:rFonts w:ascii="Calibri" w:hAnsi="Calibri" w:cs="Calibri"/>
          <w:color w:val="494949"/>
          <w:sz w:val="24"/>
          <w:szCs w:val="24"/>
        </w:rPr>
        <w:t xml:space="preserve">as recognized by law, for one party to furnish services and another party to be paid for services. This regulation is not in relations to providing services to a Medicare Beneficiary and being paid by Medicare. </w:t>
      </w:r>
    </w:p>
    <w:p w14:paraId="5DCC458C" w14:textId="7E0B95A6" w:rsidR="00125D61" w:rsidRPr="00353EA1" w:rsidRDefault="00125D61" w:rsidP="00C457E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125D61">
        <w:rPr>
          <w:rFonts w:ascii="Calibri" w:hAnsi="Calibri" w:cs="Calibri"/>
          <w:color w:val="494949"/>
          <w:sz w:val="24"/>
          <w:szCs w:val="24"/>
        </w:rPr>
        <w:t xml:space="preserve">Individuals must receive the last dose of their primary vaccine by Jan. </w:t>
      </w:r>
      <w:r w:rsidR="00C625E5">
        <w:rPr>
          <w:rFonts w:ascii="Calibri" w:hAnsi="Calibri" w:cs="Calibri"/>
          <w:color w:val="494949"/>
          <w:sz w:val="24"/>
          <w:szCs w:val="24"/>
        </w:rPr>
        <w:t>18</w:t>
      </w:r>
      <w:r w:rsidRPr="00125D61">
        <w:rPr>
          <w:rFonts w:ascii="Calibri" w:hAnsi="Calibri" w:cs="Calibri"/>
          <w:color w:val="494949"/>
          <w:sz w:val="24"/>
          <w:szCs w:val="24"/>
        </w:rPr>
        <w:t xml:space="preserve">, 2022. </w:t>
      </w:r>
    </w:p>
    <w:p w14:paraId="25CA5F87" w14:textId="7929F380" w:rsidR="00353EA1" w:rsidRPr="00EF0D0E" w:rsidRDefault="00353EA1" w:rsidP="00C457E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353EA1">
        <w:rPr>
          <w:rFonts w:ascii="Calibri" w:hAnsi="Calibri" w:cs="Calibri"/>
          <w:color w:val="494949"/>
          <w:sz w:val="24"/>
          <w:szCs w:val="24"/>
        </w:rPr>
        <w:t>New employees who cannot meet these deadlines will need to be fully vaccinated prior to their start date</w:t>
      </w:r>
      <w:r w:rsidR="00C7207B">
        <w:rPr>
          <w:rFonts w:ascii="Calibri" w:hAnsi="Calibri" w:cs="Calibri"/>
          <w:color w:val="494949"/>
          <w:sz w:val="24"/>
          <w:szCs w:val="24"/>
        </w:rPr>
        <w:t>.</w:t>
      </w:r>
    </w:p>
    <w:p w14:paraId="596F7B8C" w14:textId="053BD51B" w:rsidR="00EF0D0E" w:rsidRPr="00EF0D0E" w:rsidRDefault="00EF0D0E" w:rsidP="00C457E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EF0D0E">
        <w:rPr>
          <w:sz w:val="24"/>
          <w:szCs w:val="24"/>
        </w:rPr>
        <w:t xml:space="preserve">People are considered fully vaccinated for COVID-19 two weeks after they have received the second dose in a two-dose series, or two weeks after they have received a single-dose vaccine. </w:t>
      </w:r>
    </w:p>
    <w:p w14:paraId="636B1844" w14:textId="21B43C76" w:rsidR="00EF0D0E" w:rsidRPr="00C20E50" w:rsidRDefault="00EF0D0E" w:rsidP="00C457E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EF0D0E">
        <w:rPr>
          <w:sz w:val="24"/>
          <w:szCs w:val="24"/>
        </w:rPr>
        <w:t>For more information refer to the Safer Federal Workforce Task Force COVID-19 Workplace Safety: Guidance for Federal Contractors and Subcontractors Updated November 10, 2021</w:t>
      </w:r>
      <w:r w:rsidR="00404AA3" w:rsidRPr="00EF0D0E">
        <w:rPr>
          <w:sz w:val="24"/>
          <w:szCs w:val="24"/>
        </w:rPr>
        <w:t xml:space="preserve">. </w:t>
      </w:r>
      <w:r w:rsidRPr="00EF0D0E">
        <w:rPr>
          <w:sz w:val="24"/>
          <w:szCs w:val="24"/>
        </w:rPr>
        <w:t>https://www.saferfederalworkforce.gov/downloads/Guidance%20for%20Federal%20Contractors_Safer%20Federal%20Workforce%20Task%20Force_20211110.pdf</w:t>
      </w:r>
    </w:p>
    <w:p w14:paraId="42880BA0" w14:textId="77777777" w:rsidR="00BB1ED9" w:rsidRDefault="00BB1ED9" w:rsidP="00C457EC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563DEDEC" w14:textId="42FB0547" w:rsidR="0094465F" w:rsidRDefault="0094465F" w:rsidP="00F028EF">
      <w:pPr>
        <w:jc w:val="center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33065A8C" w14:textId="15CC79F7" w:rsidR="00F028EF" w:rsidRDefault="00F028EF" w:rsidP="00F028EF">
      <w:pPr>
        <w:jc w:val="center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606FA8AF" w14:textId="1C1BF2D2" w:rsidR="00F028EF" w:rsidRDefault="00F028EF" w:rsidP="00F028EF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773F32C2" w14:textId="2FC501E5" w:rsidR="00F028EF" w:rsidRDefault="00F028EF" w:rsidP="00F028EF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Based on what we understand of the above, </w:t>
      </w:r>
    </w:p>
    <w:p w14:paraId="33E66BB5" w14:textId="77777777" w:rsidR="00D242A7" w:rsidRPr="00F028EF" w:rsidRDefault="00D242A7" w:rsidP="00F028EF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tbl>
      <w:tblPr>
        <w:tblW w:w="6940" w:type="dxa"/>
        <w:tblLook w:val="04A0" w:firstRow="1" w:lastRow="0" w:firstColumn="1" w:lastColumn="0" w:noHBand="0" w:noVBand="1"/>
      </w:tblPr>
      <w:tblGrid>
        <w:gridCol w:w="3580"/>
        <w:gridCol w:w="1760"/>
        <w:gridCol w:w="1600"/>
      </w:tblGrid>
      <w:tr w:rsidR="00D242A7" w:rsidRPr="00D242A7" w14:paraId="5188AF1F" w14:textId="77777777" w:rsidTr="00D242A7">
        <w:trPr>
          <w:trHeight w:val="29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8640C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AS OF 11/25/2021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31A45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390D9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22772956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30D62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2945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CE62D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2A7" w:rsidRPr="00D242A7" w14:paraId="285B2163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98BAD" w14:textId="77777777" w:rsidR="00D242A7" w:rsidRPr="00D242A7" w:rsidRDefault="00D242A7" w:rsidP="009B3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IS MY EMS REQUIRED TO COMPLY?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057F8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A30D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D242A7" w:rsidRPr="00D242A7" w14:paraId="391FFC1F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C8983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4496C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7E1E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27C6C586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80615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A Hospital-Based EMS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1EC9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BF9D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103BDAB2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47734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D158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F370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782CB3D9" w14:textId="77777777" w:rsidTr="00D242A7">
        <w:trPr>
          <w:trHeight w:val="57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18B52" w14:textId="59958FF0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An EMS with a Federal Contract for Services</w:t>
            </w:r>
            <w:r w:rsidR="00A27EA4">
              <w:rPr>
                <w:rFonts w:ascii="Calibri" w:eastAsia="Times New Roman" w:hAnsi="Calibri" w:cs="Calibri"/>
                <w:color w:val="000000"/>
              </w:rPr>
              <w:t>-</w:t>
            </w:r>
            <w:r w:rsidR="00751A27">
              <w:rPr>
                <w:rFonts w:ascii="Calibri" w:eastAsia="Times New Roman" w:hAnsi="Calibri" w:cs="Calibri"/>
                <w:color w:val="000000"/>
              </w:rPr>
              <w:t>O</w:t>
            </w:r>
            <w:r w:rsidR="00A27EA4">
              <w:rPr>
                <w:rFonts w:ascii="Calibri" w:eastAsia="Times New Roman" w:hAnsi="Calibri" w:cs="Calibri"/>
                <w:color w:val="000000"/>
              </w:rPr>
              <w:t xml:space="preserve">nly </w:t>
            </w:r>
            <w:r w:rsidR="00751A27">
              <w:rPr>
                <w:rFonts w:ascii="Calibri" w:eastAsia="Times New Roman" w:hAnsi="Calibri" w:cs="Calibri"/>
                <w:color w:val="000000"/>
              </w:rPr>
              <w:t>E</w:t>
            </w:r>
            <w:r w:rsidR="00A27EA4">
              <w:rPr>
                <w:rFonts w:ascii="Calibri" w:eastAsia="Times New Roman" w:hAnsi="Calibri" w:cs="Calibri"/>
                <w:color w:val="000000"/>
              </w:rPr>
              <w:t xml:space="preserve">mployees working on the </w:t>
            </w:r>
            <w:r w:rsidR="00751A27">
              <w:rPr>
                <w:rFonts w:ascii="Calibri" w:eastAsia="Times New Roman" w:hAnsi="Calibri" w:cs="Calibri"/>
                <w:color w:val="000000"/>
              </w:rPr>
              <w:t>F</w:t>
            </w:r>
            <w:r w:rsidR="00A27EA4">
              <w:rPr>
                <w:rFonts w:ascii="Calibri" w:eastAsia="Times New Roman" w:hAnsi="Calibri" w:cs="Calibri"/>
                <w:color w:val="000000"/>
              </w:rPr>
              <w:t xml:space="preserve">ederal </w:t>
            </w:r>
            <w:r w:rsidR="00751A27">
              <w:rPr>
                <w:rFonts w:ascii="Calibri" w:eastAsia="Times New Roman" w:hAnsi="Calibri" w:cs="Calibri"/>
                <w:color w:val="000000"/>
              </w:rPr>
              <w:t>C</w:t>
            </w:r>
            <w:r w:rsidR="00A27EA4">
              <w:rPr>
                <w:rFonts w:ascii="Calibri" w:eastAsia="Times New Roman" w:hAnsi="Calibri" w:cs="Calibri"/>
                <w:color w:val="000000"/>
              </w:rPr>
              <w:t>ontract</w:t>
            </w:r>
            <w:r w:rsidR="00A94CBF">
              <w:rPr>
                <w:rFonts w:ascii="Calibri" w:eastAsia="Times New Roman" w:hAnsi="Calibri" w:cs="Calibri"/>
                <w:color w:val="000000"/>
              </w:rPr>
              <w:t xml:space="preserve"> or in </w:t>
            </w:r>
            <w:r w:rsidR="00751A27">
              <w:rPr>
                <w:rFonts w:ascii="Calibri" w:eastAsia="Times New Roman" w:hAnsi="Calibri" w:cs="Calibri"/>
                <w:color w:val="000000"/>
              </w:rPr>
              <w:t>C</w:t>
            </w:r>
            <w:r w:rsidR="00A94CBF">
              <w:rPr>
                <w:rFonts w:ascii="Calibri" w:eastAsia="Times New Roman" w:hAnsi="Calibri" w:cs="Calibri"/>
                <w:color w:val="000000"/>
              </w:rPr>
              <w:t xml:space="preserve">onjunction with the </w:t>
            </w:r>
            <w:r w:rsidR="00751A27">
              <w:rPr>
                <w:rFonts w:ascii="Calibri" w:eastAsia="Times New Roman" w:hAnsi="Calibri" w:cs="Calibri"/>
                <w:color w:val="000000"/>
              </w:rPr>
              <w:t>C</w:t>
            </w:r>
            <w:r w:rsidR="00A94CBF">
              <w:rPr>
                <w:rFonts w:ascii="Calibri" w:eastAsia="Times New Roman" w:hAnsi="Calibri" w:cs="Calibri"/>
                <w:color w:val="000000"/>
              </w:rPr>
              <w:t>ontract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AC84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3B17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61D7CE5B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C8B82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E7D9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B3FB6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43C021B1" w14:textId="77777777" w:rsidTr="00D242A7">
        <w:trPr>
          <w:trHeight w:val="57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45D77" w14:textId="04B22179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A</w:t>
            </w:r>
            <w:r w:rsidR="001933F9">
              <w:rPr>
                <w:rFonts w:ascii="Calibri" w:eastAsia="Times New Roman" w:hAnsi="Calibri" w:cs="Calibri"/>
                <w:color w:val="000000"/>
              </w:rPr>
              <w:t>n EMS with a</w:t>
            </w:r>
            <w:r w:rsidRPr="00D242A7">
              <w:rPr>
                <w:rFonts w:ascii="Calibri" w:eastAsia="Times New Roman" w:hAnsi="Calibri" w:cs="Calibri"/>
                <w:color w:val="000000"/>
              </w:rPr>
              <w:t xml:space="preserve"> Contract to Provide Service to a Hospital </w:t>
            </w:r>
            <w:r w:rsidR="001933F9">
              <w:rPr>
                <w:rFonts w:ascii="Calibri" w:eastAsia="Times New Roman" w:hAnsi="Calibri" w:cs="Calibri"/>
                <w:color w:val="000000"/>
              </w:rPr>
              <w:t xml:space="preserve">or other Provider (Home Health, Hospice) that is </w:t>
            </w:r>
            <w:r w:rsidRPr="00D242A7">
              <w:rPr>
                <w:rFonts w:ascii="Calibri" w:eastAsia="Times New Roman" w:hAnsi="Calibri" w:cs="Calibri"/>
                <w:color w:val="000000"/>
              </w:rPr>
              <w:t>Required to Comply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6F61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AB36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6C62503C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94C6E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FC96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80486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242A7" w:rsidRPr="00D242A7" w14:paraId="48A9CE07" w14:textId="77777777" w:rsidTr="00D242A7">
        <w:trPr>
          <w:trHeight w:val="29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CF98C" w14:textId="77777777" w:rsidR="00D242A7" w:rsidRPr="00D242A7" w:rsidRDefault="00D242A7" w:rsidP="00D2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  <w:r w:rsidRPr="00D242A7">
              <w:rPr>
                <w:rFonts w:ascii="Calibri" w:eastAsia="Times New Roman" w:hAnsi="Calibri" w:cs="Calibri"/>
                <w:color w:val="000000"/>
              </w:rPr>
              <w:t xml:space="preserve"> of the Above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2B21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95E77" w14:textId="77777777" w:rsidR="00D242A7" w:rsidRPr="00D242A7" w:rsidRDefault="00D242A7" w:rsidP="00D2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42A7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</w:tbl>
    <w:p w14:paraId="2EFF8848" w14:textId="77777777" w:rsidR="00F028EF" w:rsidRDefault="00F028EF" w:rsidP="00F028EF">
      <w:pPr>
        <w:jc w:val="center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2847C5B6" w14:textId="7AD8478D" w:rsidR="00C20E50" w:rsidRPr="0094465F" w:rsidRDefault="00C20E50" w:rsidP="0094465F">
      <w:pPr>
        <w:pStyle w:val="ListParagraph"/>
        <w:ind w:left="0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94465F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Resources</w:t>
      </w:r>
    </w:p>
    <w:p w14:paraId="603018E3" w14:textId="06C8643F" w:rsidR="00B10377" w:rsidRPr="00C457EC" w:rsidRDefault="00B10377" w:rsidP="002B76FE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i/>
          <w:iCs/>
          <w:sz w:val="20"/>
          <w:szCs w:val="20"/>
        </w:rPr>
        <w:t>Interim clinical considerations for use of covid-19 vaccines</w:t>
      </w:r>
      <w:r w:rsidRPr="00C457EC">
        <w:rPr>
          <w:rFonts w:asciiTheme="majorHAnsi" w:hAnsiTheme="majorHAnsi" w:cstheme="majorHAnsi"/>
          <w:sz w:val="20"/>
          <w:szCs w:val="20"/>
        </w:rPr>
        <w:t xml:space="preserve">. Centers for Disease Control and Prevention. https://www.cdc.gov/vaccines/covid-19/clinical-considerations/covid-19-vaccines-us.html?CDC_AA_refVal=https%3A%2F%2Fwww.cdc.gov%2Fvaccines%2Fcovid-19%2Finfo-by-product%2Fclinical-considerations.html. </w:t>
      </w:r>
    </w:p>
    <w:p w14:paraId="3037A943" w14:textId="5D2DEA91" w:rsidR="00B10377" w:rsidRDefault="00B10377" w:rsidP="00CB6C3A">
      <w:pPr>
        <w:pStyle w:val="NormalWeb"/>
        <w:ind w:hanging="567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i/>
          <w:iCs/>
          <w:sz w:val="20"/>
          <w:szCs w:val="20"/>
        </w:rPr>
        <w:tab/>
        <w:t>CMS Omnibus COVID-19 Health Care Staff Vaccination Interim Final Rule Basics Q:</w:t>
      </w:r>
      <w:r w:rsidRPr="00C457EC">
        <w:rPr>
          <w:rFonts w:asciiTheme="majorHAnsi" w:hAnsiTheme="majorHAnsi" w:cstheme="majorHAnsi"/>
          <w:sz w:val="20"/>
          <w:szCs w:val="20"/>
        </w:rPr>
        <w:t xml:space="preserve"> https://www.cms.gov/files/document/cms-omnibus-covid-19-health-care-staff-vaccination-requirements-2021.pdf. </w:t>
      </w:r>
    </w:p>
    <w:p w14:paraId="62653F49" w14:textId="50BA69C0" w:rsidR="00B10377" w:rsidRPr="00C457EC" w:rsidRDefault="00B10377" w:rsidP="00CB6C3A">
      <w:pPr>
        <w:pStyle w:val="NormalWeb"/>
        <w:ind w:hanging="567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i/>
          <w:iCs/>
          <w:sz w:val="20"/>
          <w:szCs w:val="20"/>
        </w:rPr>
        <w:tab/>
        <w:t xml:space="preserve">Is Your Workplace Covered by the COVID-19 Healthcare </w:t>
      </w:r>
      <w:proofErr w:type="gramStart"/>
      <w:r w:rsidRPr="00C457EC">
        <w:rPr>
          <w:rFonts w:asciiTheme="majorHAnsi" w:hAnsiTheme="majorHAnsi" w:cstheme="majorHAnsi"/>
          <w:i/>
          <w:iCs/>
          <w:sz w:val="20"/>
          <w:szCs w:val="20"/>
        </w:rPr>
        <w:t>ETS</w:t>
      </w:r>
      <w:r w:rsidRPr="00C457EC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Pr="00C457EC">
        <w:rPr>
          <w:rFonts w:asciiTheme="majorHAnsi" w:hAnsiTheme="majorHAnsi" w:cstheme="majorHAnsi"/>
          <w:sz w:val="20"/>
          <w:szCs w:val="20"/>
        </w:rPr>
        <w:t xml:space="preserve"> COVID-19 Healthcare ETS from </w:t>
      </w:r>
      <w:hyperlink r:id="rId8" w:history="1">
        <w:r w:rsidRPr="00C457EC">
          <w:rPr>
            <w:rStyle w:val="Hyperlink"/>
            <w:rFonts w:asciiTheme="majorHAnsi" w:hAnsiTheme="majorHAnsi" w:cstheme="majorHAnsi"/>
            <w:sz w:val="20"/>
            <w:szCs w:val="20"/>
          </w:rPr>
          <w:t>https://www.osha.gov/coronavirus/ets</w:t>
        </w:r>
      </w:hyperlink>
      <w:r w:rsidRPr="00C457E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139CC74" w14:textId="77777777" w:rsidR="00B10377" w:rsidRPr="00C457EC" w:rsidRDefault="00B10377" w:rsidP="00C457EC">
      <w:pPr>
        <w:pStyle w:val="NormalWeb"/>
        <w:ind w:hanging="567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sz w:val="20"/>
          <w:szCs w:val="20"/>
        </w:rPr>
        <w:tab/>
        <w:t xml:space="preserve">Lester, K., &amp; Moore, S. (2021, November 5). Federal Government Releases Covid-19 Vaccination Requirements Rules. </w:t>
      </w:r>
      <w:r w:rsidRPr="00C457EC">
        <w:rPr>
          <w:rFonts w:asciiTheme="majorHAnsi" w:hAnsiTheme="majorHAnsi" w:cstheme="majorHAnsi"/>
          <w:i/>
          <w:iCs/>
          <w:sz w:val="20"/>
          <w:szCs w:val="20"/>
        </w:rPr>
        <w:t>AAA Member Advisory</w:t>
      </w:r>
      <w:r w:rsidRPr="00C457E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1655E6D" w14:textId="3A666F4B" w:rsidR="00B10377" w:rsidRPr="00C457EC" w:rsidRDefault="00B10377" w:rsidP="00B10377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i/>
          <w:iCs/>
          <w:sz w:val="20"/>
          <w:szCs w:val="20"/>
        </w:rPr>
        <w:t>New covid-19 testing and reporting requirements - CMS</w:t>
      </w:r>
      <w:r w:rsidRPr="00C457EC">
        <w:rPr>
          <w:rFonts w:asciiTheme="majorHAnsi" w:hAnsiTheme="majorHAnsi" w:cstheme="majorHAnsi"/>
          <w:sz w:val="20"/>
          <w:szCs w:val="20"/>
        </w:rPr>
        <w:t>. https://www.cms.gov/files/document/covid-ppt-nh-all-call.pdf</w:t>
      </w:r>
    </w:p>
    <w:p w14:paraId="28E43EBC" w14:textId="1315D43C" w:rsidR="00B10377" w:rsidRPr="00C457EC" w:rsidRDefault="00B10377" w:rsidP="008E154A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i/>
          <w:iCs/>
          <w:sz w:val="20"/>
          <w:szCs w:val="20"/>
        </w:rPr>
        <w:t>OSHA suspends implementation and enforcement of COVID-19 vaccine and testing mandate</w:t>
      </w:r>
      <w:r w:rsidR="00E3581F">
        <w:rPr>
          <w:rFonts w:asciiTheme="majorHAnsi" w:hAnsiTheme="majorHAnsi" w:cstheme="majorHAnsi"/>
          <w:sz w:val="20"/>
          <w:szCs w:val="20"/>
        </w:rPr>
        <w:t xml:space="preserve"> </w:t>
      </w:r>
      <w:r w:rsidRPr="00C457EC">
        <w:rPr>
          <w:rFonts w:asciiTheme="majorHAnsi" w:hAnsiTheme="majorHAnsi" w:cstheme="majorHAnsi"/>
          <w:sz w:val="20"/>
          <w:szCs w:val="20"/>
        </w:rPr>
        <w:t xml:space="preserve">from https://www.natlawreview.com/article/osha-suspends-implementation-and-enforcement-covid-19-vaccine-and-testing-mandate. </w:t>
      </w:r>
    </w:p>
    <w:p w14:paraId="5747828C" w14:textId="1F36A3C7" w:rsidR="00B10377" w:rsidRPr="00C457EC" w:rsidRDefault="00B10377" w:rsidP="00CB6C3A">
      <w:pPr>
        <w:pStyle w:val="NormalWeb"/>
        <w:ind w:hanging="567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i/>
          <w:iCs/>
          <w:sz w:val="20"/>
          <w:szCs w:val="20"/>
        </w:rPr>
        <w:tab/>
        <w:t>Safer Federal Workforce Task Force COVID-19 Workplace Safety: Guidance for Federal Contractors and Subcontractors</w:t>
      </w:r>
      <w:r w:rsidRPr="00C457EC">
        <w:rPr>
          <w:rFonts w:asciiTheme="majorHAnsi" w:hAnsiTheme="majorHAnsi" w:cstheme="majorHAnsi"/>
          <w:sz w:val="20"/>
          <w:szCs w:val="20"/>
        </w:rPr>
        <w:t>. Safer Federal Workforce</w:t>
      </w:r>
      <w:r w:rsidR="00E3581F">
        <w:rPr>
          <w:rFonts w:asciiTheme="majorHAnsi" w:hAnsiTheme="majorHAnsi" w:cstheme="majorHAnsi"/>
          <w:sz w:val="20"/>
          <w:szCs w:val="20"/>
        </w:rPr>
        <w:t xml:space="preserve"> </w:t>
      </w:r>
      <w:r w:rsidRPr="00C457EC">
        <w:rPr>
          <w:rFonts w:asciiTheme="majorHAnsi" w:hAnsiTheme="majorHAnsi" w:cstheme="majorHAnsi"/>
          <w:sz w:val="20"/>
          <w:szCs w:val="20"/>
        </w:rPr>
        <w:t xml:space="preserve">from https://www.saferfederalworkforce.gov/overview/. </w:t>
      </w:r>
    </w:p>
    <w:p w14:paraId="6D680870" w14:textId="0E35BA39" w:rsidR="00B10377" w:rsidRPr="00C457EC" w:rsidRDefault="00B10377" w:rsidP="00CB6C3A">
      <w:pPr>
        <w:pStyle w:val="NormalWeb"/>
        <w:ind w:hanging="567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i/>
          <w:iCs/>
          <w:sz w:val="20"/>
          <w:szCs w:val="20"/>
        </w:rPr>
        <w:tab/>
        <w:t>Summary of COVID-19 Healthcare ETS</w:t>
      </w:r>
      <w:r w:rsidRPr="00C457EC">
        <w:rPr>
          <w:rFonts w:asciiTheme="majorHAnsi" w:hAnsiTheme="majorHAnsi" w:cstheme="majorHAnsi"/>
          <w:sz w:val="20"/>
          <w:szCs w:val="20"/>
        </w:rPr>
        <w:t xml:space="preserve">. COVID-19 Healthcare ETS, from </w:t>
      </w:r>
      <w:hyperlink r:id="rId9" w:history="1">
        <w:r w:rsidRPr="00C457EC">
          <w:rPr>
            <w:rStyle w:val="Hyperlink"/>
            <w:rFonts w:asciiTheme="majorHAnsi" w:hAnsiTheme="majorHAnsi" w:cstheme="majorHAnsi"/>
            <w:sz w:val="20"/>
            <w:szCs w:val="20"/>
          </w:rPr>
          <w:t>https://www.osha.gov/coronavirus/ets</w:t>
        </w:r>
      </w:hyperlink>
      <w:r w:rsidRPr="00C457E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B18B576" w14:textId="35042445" w:rsidR="00B10377" w:rsidRPr="00C457EC" w:rsidRDefault="00B10377" w:rsidP="00CB6C3A">
      <w:pPr>
        <w:pStyle w:val="NormalWeb"/>
        <w:ind w:hanging="567"/>
        <w:rPr>
          <w:rFonts w:asciiTheme="majorHAnsi" w:hAnsiTheme="majorHAnsi" w:cstheme="majorHAnsi"/>
          <w:sz w:val="20"/>
          <w:szCs w:val="20"/>
        </w:rPr>
      </w:pPr>
      <w:r w:rsidRPr="00C457EC"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14:paraId="0D7301EF" w14:textId="77777777" w:rsidR="00B10377" w:rsidRPr="00C457EC" w:rsidRDefault="00B10377" w:rsidP="00CB6C3A">
      <w:pPr>
        <w:pStyle w:val="NormalWeb"/>
        <w:ind w:hanging="567"/>
        <w:rPr>
          <w:rFonts w:asciiTheme="majorHAnsi" w:hAnsiTheme="majorHAnsi" w:cstheme="majorHAnsi"/>
          <w:sz w:val="20"/>
          <w:szCs w:val="20"/>
        </w:rPr>
      </w:pPr>
    </w:p>
    <w:sectPr w:rsidR="00B10377" w:rsidRPr="00C457EC" w:rsidSect="009772D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2B3B" w14:textId="77777777" w:rsidR="005B5CDE" w:rsidRDefault="005B5CDE" w:rsidP="009772DC">
      <w:pPr>
        <w:spacing w:after="0" w:line="240" w:lineRule="auto"/>
      </w:pPr>
      <w:r>
        <w:separator/>
      </w:r>
    </w:p>
  </w:endnote>
  <w:endnote w:type="continuationSeparator" w:id="0">
    <w:p w14:paraId="5BD7F67E" w14:textId="77777777" w:rsidR="005B5CDE" w:rsidRDefault="005B5CDE" w:rsidP="0097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8711" w14:textId="77777777" w:rsidR="005B5CDE" w:rsidRDefault="005B5CDE" w:rsidP="009772DC">
      <w:pPr>
        <w:spacing w:after="0" w:line="240" w:lineRule="auto"/>
      </w:pPr>
      <w:r>
        <w:separator/>
      </w:r>
    </w:p>
  </w:footnote>
  <w:footnote w:type="continuationSeparator" w:id="0">
    <w:p w14:paraId="1168592A" w14:textId="77777777" w:rsidR="005B5CDE" w:rsidRDefault="005B5CDE" w:rsidP="0097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43D1" w14:textId="0E28F079" w:rsidR="009772DC" w:rsidRDefault="009772DC" w:rsidP="009772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1227"/>
    <w:multiLevelType w:val="hybridMultilevel"/>
    <w:tmpl w:val="BB4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4843"/>
    <w:multiLevelType w:val="hybridMultilevel"/>
    <w:tmpl w:val="D98A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211D"/>
    <w:multiLevelType w:val="hybridMultilevel"/>
    <w:tmpl w:val="06A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16"/>
    <w:rsid w:val="000729A9"/>
    <w:rsid w:val="00097104"/>
    <w:rsid w:val="00125D61"/>
    <w:rsid w:val="001933F9"/>
    <w:rsid w:val="001F4D12"/>
    <w:rsid w:val="002017AA"/>
    <w:rsid w:val="00204061"/>
    <w:rsid w:val="00246B9B"/>
    <w:rsid w:val="002B538F"/>
    <w:rsid w:val="002B76FE"/>
    <w:rsid w:val="002C2F37"/>
    <w:rsid w:val="002F6B61"/>
    <w:rsid w:val="00353EA1"/>
    <w:rsid w:val="003A25FD"/>
    <w:rsid w:val="00404AA3"/>
    <w:rsid w:val="00486BB2"/>
    <w:rsid w:val="00542A9B"/>
    <w:rsid w:val="005B5CDE"/>
    <w:rsid w:val="005C7A66"/>
    <w:rsid w:val="00602444"/>
    <w:rsid w:val="00647428"/>
    <w:rsid w:val="00653012"/>
    <w:rsid w:val="0065368C"/>
    <w:rsid w:val="00655DA4"/>
    <w:rsid w:val="006A50FF"/>
    <w:rsid w:val="00722E16"/>
    <w:rsid w:val="00751A27"/>
    <w:rsid w:val="007C72CD"/>
    <w:rsid w:val="00890044"/>
    <w:rsid w:val="008B541F"/>
    <w:rsid w:val="008C5F05"/>
    <w:rsid w:val="008E154A"/>
    <w:rsid w:val="009018C1"/>
    <w:rsid w:val="0094465F"/>
    <w:rsid w:val="00965C9C"/>
    <w:rsid w:val="009772DC"/>
    <w:rsid w:val="009B328C"/>
    <w:rsid w:val="009D16A5"/>
    <w:rsid w:val="00A1147C"/>
    <w:rsid w:val="00A2757D"/>
    <w:rsid w:val="00A27EA4"/>
    <w:rsid w:val="00A44A80"/>
    <w:rsid w:val="00A917C5"/>
    <w:rsid w:val="00A94CBF"/>
    <w:rsid w:val="00B10377"/>
    <w:rsid w:val="00B268E6"/>
    <w:rsid w:val="00B63A4D"/>
    <w:rsid w:val="00B946BC"/>
    <w:rsid w:val="00BB1ED9"/>
    <w:rsid w:val="00BC6791"/>
    <w:rsid w:val="00C113CA"/>
    <w:rsid w:val="00C20E50"/>
    <w:rsid w:val="00C457EC"/>
    <w:rsid w:val="00C625E5"/>
    <w:rsid w:val="00C7207B"/>
    <w:rsid w:val="00CB6C3A"/>
    <w:rsid w:val="00CC0D99"/>
    <w:rsid w:val="00D05FE4"/>
    <w:rsid w:val="00D23B56"/>
    <w:rsid w:val="00D242A7"/>
    <w:rsid w:val="00D576AA"/>
    <w:rsid w:val="00E16693"/>
    <w:rsid w:val="00E3581F"/>
    <w:rsid w:val="00E47A11"/>
    <w:rsid w:val="00EF0D0E"/>
    <w:rsid w:val="00F028EF"/>
    <w:rsid w:val="00F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D60"/>
  <w15:chartTrackingRefBased/>
  <w15:docId w15:val="{AA9F7CD7-FEA5-4F12-ADF8-7750E9DC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E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E16"/>
    <w:pPr>
      <w:ind w:left="720"/>
      <w:contextualSpacing/>
    </w:pPr>
  </w:style>
  <w:style w:type="character" w:customStyle="1" w:styleId="corm-link">
    <w:name w:val="corm-link"/>
    <w:basedOn w:val="DefaultParagraphFont"/>
    <w:rsid w:val="00542A9B"/>
  </w:style>
  <w:style w:type="character" w:customStyle="1" w:styleId="il">
    <w:name w:val="il"/>
    <w:basedOn w:val="DefaultParagraphFont"/>
    <w:rsid w:val="002C2F37"/>
  </w:style>
  <w:style w:type="character" w:styleId="UnresolvedMention">
    <w:name w:val="Unresolved Mention"/>
    <w:basedOn w:val="DefaultParagraphFont"/>
    <w:uiPriority w:val="99"/>
    <w:semiHidden/>
    <w:unhideWhenUsed/>
    <w:rsid w:val="00B63A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DC"/>
  </w:style>
  <w:style w:type="paragraph" w:styleId="Footer">
    <w:name w:val="footer"/>
    <w:basedOn w:val="Normal"/>
    <w:link w:val="FooterChar"/>
    <w:uiPriority w:val="99"/>
    <w:unhideWhenUsed/>
    <w:rsid w:val="0097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coronavirus/e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coronavirus/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McLain-Johnson</dc:creator>
  <cp:keywords/>
  <dc:description/>
  <cp:lastModifiedBy>V Brewington</cp:lastModifiedBy>
  <cp:revision>2</cp:revision>
  <dcterms:created xsi:type="dcterms:W3CDTF">2021-11-26T17:17:00Z</dcterms:created>
  <dcterms:modified xsi:type="dcterms:W3CDTF">2021-11-26T17:17:00Z</dcterms:modified>
</cp:coreProperties>
</file>